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43" w:rsidRPr="00F50C79" w:rsidRDefault="000A0543" w:rsidP="000A054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lang w:eastAsia="ru-RU"/>
        </w:rPr>
        <w:t>ГОСТ 12036-85. Семена сельскохозяйственных культур. Правила приемки и методы отбора проб (с Изменениями N 1, 2)</w:t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ГОСТ 12036-85</w:t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  <w:t>Группа С09</w:t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0A054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МЕЖГОСУДАРСТВЕННЫЙ СТАНДАРТ</w:t>
      </w:r>
    </w:p>
    <w:p w:rsidR="000A0543" w:rsidRPr="00F50C79" w:rsidRDefault="000A0543" w:rsidP="000A054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СЕМЕНА СЕЛЬСКОХОЗЯЙСТВЕННЫХ КУЛЬТУР </w:t>
      </w:r>
    </w:p>
    <w:p w:rsidR="000A0543" w:rsidRPr="00F50C79" w:rsidRDefault="000A0543" w:rsidP="000A054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Правила приемки и методы отбора проб</w:t>
      </w:r>
    </w:p>
    <w:p w:rsidR="000A0543" w:rsidRPr="00F50C79" w:rsidRDefault="000A0543" w:rsidP="000A0543">
      <w:pPr>
        <w:shd w:val="clear" w:color="auto" w:fill="FFFFFF"/>
        <w:spacing w:before="136" w:after="68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en-US" w:eastAsia="ru-RU"/>
        </w:rPr>
      </w:pPr>
      <w:proofErr w:type="gramStart"/>
      <w:r w:rsidRPr="00F50C79"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en-US" w:eastAsia="ru-RU"/>
        </w:rPr>
        <w:t>Seeds of farm crops.</w:t>
      </w:r>
      <w:proofErr w:type="gramEnd"/>
      <w:r w:rsidRPr="00F50C79"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en-US" w:eastAsia="ru-RU"/>
        </w:rPr>
        <w:t xml:space="preserve"> Acceptance rules and methods of sampling</w:t>
      </w:r>
    </w:p>
    <w:p w:rsidR="000A0543" w:rsidRPr="00F50C79" w:rsidRDefault="000A0543" w:rsidP="000A054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4A3496"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en-US" w:eastAsia="ru-RU"/>
        </w:rPr>
        <w:br/>
      </w:r>
      <w:r w:rsidRPr="004A3496">
        <w:rPr>
          <w:rFonts w:ascii="Times New Roman" w:eastAsia="Times New Roman" w:hAnsi="Times New Roman" w:cs="Times New Roman"/>
          <w:color w:val="2D2D2D"/>
          <w:sz w:val="28"/>
          <w:szCs w:val="28"/>
          <w:lang w:val="en-US" w:eastAsia="ru-RU"/>
        </w:rPr>
        <w:br/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M</w:t>
      </w:r>
      <w:proofErr w:type="gramStart"/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К</w:t>
      </w:r>
      <w:proofErr w:type="gramEnd"/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C 65.020.20 </w:t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  <w:t>ОКСТУ 9709</w:t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Дата введения 1986-07-01</w:t>
      </w:r>
    </w:p>
    <w:p w:rsid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</w:r>
      <w:r w:rsidR="00C26E0C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Постановлением Государственного комитета СССР по стандартам от 4 марта 1985 г. N 454 дата введения 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установлена 01.07.86 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C26E0C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Ограничение срока действия снято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по протоколу N 5-94 Межгосударственного совета по стандартизации, метрологии и 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сертификации (ИУС 11-12-94)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C26E0C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ВЗАМЕН </w:t>
      </w:r>
      <w:hyperlink r:id="rId4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12036-66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C26E0C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ИЗДАНИЕ с Изменениями N 1, 2, утвержденными в октябре 1987 г., августе 1990 г. (ИУС 1-88, 11-90)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C26E0C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Настоящий стандарт распространяется на семена сельскохозяйственных культур, за исключением хлопчатника, сахарной свеклы, цветочных культур, и устанавливает правила приемки семян и методы отбора проб для определения посевных качеств семян.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C26E0C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Термины и определения - по </w:t>
      </w:r>
      <w:hyperlink r:id="rId5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20290-74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 </w:t>
      </w:r>
      <w:hyperlink r:id="rId6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15895-77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*.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_______________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* На территории Российской Федерации действуют </w:t>
      </w:r>
      <w:hyperlink r:id="rId7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 xml:space="preserve">ГОСТ </w:t>
        </w:r>
        <w:proofErr w:type="gramStart"/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Р</w:t>
        </w:r>
        <w:proofErr w:type="gramEnd"/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 xml:space="preserve"> 50779.10-2000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и </w:t>
      </w:r>
      <w:hyperlink r:id="rId8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Р 50779.11-2000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0C79" w:rsidRDefault="00F50C79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</w:p>
    <w:p w:rsidR="00F50C79" w:rsidRDefault="00F50C79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before="136" w:after="68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lastRenderedPageBreak/>
        <w:t>1. ПРАВИЛА ПРИЕМКИ</w:t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1.1. Семена принимают партиями. Партией семян первой и последующих репродукций считают любое количество однородных по качеству семян, удостоверенных одним документом.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C26E0C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Партией семян питомника размножения, суперэлиты и элиты считают определенное количество однородных по качеству семян, установленное для данной культуры по приложению 1 и удостоверенное одним документом о качестве.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(Измененная редакция,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Изм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N 1).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1.2. Партия, отгружаемая на посев, должна сопровождаться: семян элиты - Аттестатом на семена, семян первой и последующих репродукций - Свидетельством на семена.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C26E0C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Партия семян, засыпанных в семенные фонды колхозов, совхозов и других хозяйств, должна быть оформлена Актом апробации и Удостоверением о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кондиционности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семян по </w:t>
      </w:r>
      <w:hyperlink r:id="rId9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12046-85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1.3. Для проверки соответствия посевных качеств семян требованиям нормативного документа анализируют среднюю пробу, которую отбирают от партии семян, если размер партии соответствует 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указанному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приложении 1 или табл.2, или от контрольных единиц, на которые разделяют партию, если она превышает установленный размер. Контрольные единицы нумеруют и составляют схему разбивки партии на контрольные единицы, которую прилагают к акту отбора проб. Схему не составляют для партий семян, хранящихся в силосах и на токах.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1.4. От семян, упакованных в мешки или пакеты, пробы отбирают из мешков (пакетов), взятых из разных мест партии или контрольной единицы, в количестве, указанном в табл.1, 2 и п.1.5.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0C79" w:rsidRDefault="00F50C79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</w:p>
    <w:p w:rsidR="00F50C79" w:rsidRDefault="00F50C79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</w:p>
    <w:p w:rsidR="00F50C79" w:rsidRDefault="00F50C79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</w:p>
    <w:p w:rsidR="00F50C79" w:rsidRDefault="00F50C79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</w:p>
    <w:p w:rsidR="00F50C79" w:rsidRDefault="00F50C79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</w:p>
    <w:p w:rsidR="00F50C79" w:rsidRDefault="00F50C79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</w:p>
    <w:p w:rsidR="00F50C79" w:rsidRDefault="00F50C79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</w:p>
    <w:p w:rsidR="00F50C79" w:rsidRDefault="00F50C79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</w:p>
    <w:p w:rsidR="00F50C79" w:rsidRDefault="00F50C79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</w:p>
    <w:p w:rsidR="00F50C79" w:rsidRDefault="00F50C79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Таблица 1</w:t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Количество мешков, выделенных для отбора проб семян сельскохозяйственных культур</w:t>
      </w: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br/>
        <w:t>(за исключением кукурузы в початках и овощных культур при массе упаковочной единицы семян </w:t>
      </w: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br/>
        <w:t>овощных культур до 10 кг включительно)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87"/>
        <w:gridCol w:w="4768"/>
      </w:tblGrid>
      <w:tr w:rsidR="000A0543" w:rsidRPr="00F50C79" w:rsidTr="000A0543">
        <w:trPr>
          <w:trHeight w:val="15"/>
        </w:trPr>
        <w:tc>
          <w:tcPr>
            <w:tcW w:w="4620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Количество мешков в партии (контрольной единице), шт.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Количество мешков, выделенных 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  <w:t>для отбора проб</w:t>
            </w:r>
          </w:p>
        </w:tc>
      </w:tr>
      <w:tr w:rsidR="000A0543" w:rsidRPr="00F50C79" w:rsidTr="000A054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До 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Все мешки</w:t>
            </w:r>
          </w:p>
        </w:tc>
      </w:tr>
      <w:tr w:rsidR="000A0543" w:rsidRPr="00F50C79" w:rsidTr="000A0543"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6-30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Каждый третий, но не менее 5</w:t>
            </w:r>
          </w:p>
        </w:tc>
      </w:tr>
      <w:tr w:rsidR="000A0543" w:rsidRPr="00F50C79" w:rsidTr="000A0543"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31-400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Каждый пятый, но не менее 10</w:t>
            </w:r>
          </w:p>
        </w:tc>
      </w:tr>
      <w:tr w:rsidR="000A0543" w:rsidRPr="00F50C79" w:rsidTr="000A0543">
        <w:tc>
          <w:tcPr>
            <w:tcW w:w="4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401 и более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Каждый седьмой, но не менее 80</w:t>
            </w:r>
          </w:p>
        </w:tc>
      </w:tr>
    </w:tbl>
    <w:p w:rsidR="000A0543" w:rsidRPr="00F50C79" w:rsidRDefault="000A0543" w:rsidP="000A0543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Таблица 2</w:t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Количество выделенных для отбора проб мешков или пакетов семян </w:t>
      </w: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br/>
        <w:t>овощных культур при массе упаковочной единицы до 10 кг включительно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49"/>
        <w:gridCol w:w="3304"/>
        <w:gridCol w:w="3302"/>
      </w:tblGrid>
      <w:tr w:rsidR="000A0543" w:rsidRPr="00F50C79" w:rsidTr="000A0543">
        <w:trPr>
          <w:trHeight w:val="15"/>
        </w:trPr>
        <w:tc>
          <w:tcPr>
            <w:tcW w:w="2772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Масса семян в мешке (пакете), 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Количество мешков (пакетов) в партии (контрольной единице), шт., не более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Количество мешков (пакетов), выделенных для отбора проб, %, но не менее 10</w:t>
            </w:r>
          </w:p>
        </w:tc>
      </w:tr>
      <w:tr w:rsidR="000A0543" w:rsidRPr="00F50C79" w:rsidTr="000A054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До 0,1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включ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2,0</w:t>
            </w:r>
          </w:p>
        </w:tc>
      </w:tr>
      <w:tr w:rsidR="000A0543" w:rsidRPr="00F50C79" w:rsidTr="000A0543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От 0,2 " 0,5 "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1,5</w:t>
            </w:r>
          </w:p>
        </w:tc>
      </w:tr>
      <w:tr w:rsidR="000A0543" w:rsidRPr="00F50C79" w:rsidTr="000A0543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" 0,6 " 1,0 "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1,0</w:t>
            </w:r>
          </w:p>
        </w:tc>
      </w:tr>
      <w:tr w:rsidR="000A0543" w:rsidRPr="00F50C79" w:rsidTr="000A0543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" 1,1 " 3,0 "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1,0</w:t>
            </w:r>
          </w:p>
        </w:tc>
      </w:tr>
      <w:tr w:rsidR="000A0543" w:rsidRPr="00F50C79" w:rsidTr="000A0543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" 3,1 " 10,0 "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10,0</w:t>
            </w:r>
          </w:p>
        </w:tc>
      </w:tr>
    </w:tbl>
    <w:p w:rsidR="000A0543" w:rsidRPr="00F50C79" w:rsidRDefault="000A0543" w:rsidP="000A054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1.5. От семян кукурузы в початках пробы для анализа берут: от партии до 10 мешков - из всех мешков; от 11 до 100 мешков - из каждого пятого мешка, но не менее чем из 15; свыше 100 мешков - из каждого десятого мешка, но не менее чем из 15.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1.4, 1.5. 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(Измененная редакция,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Изм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N 1).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1.6. При погрузке-разгрузке силосных емкостей отбор проб проводят от перемещаемых семян в количестве не менее 100 г от 1 т семян.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1.7. Результаты анализа средней пробы семян распространяют на партию, а при разделении партии на контрольные единицы - на контрольную единицу с последующим вычислением результата по партии </w:t>
      </w:r>
      <w:r w:rsidR="00F50C79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           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 </w:t>
      </w:r>
      <w:hyperlink r:id="rId10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12046-85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1.8. В случае разногласий по качеству семян посевные качества определяют по </w:t>
      </w:r>
      <w:hyperlink r:id="rId11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12047-85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0A0543" w:rsidRPr="00F50C79" w:rsidRDefault="000A0543" w:rsidP="000A0543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2. МЕТОДЫ ОТБОРА ПРОБ</w:t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2.1. Аппаратура и материалы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Д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ля отбора проб применяют: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щупы для семян конусные, цилиндрические, мешочные;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пробоотборник механический;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емкость вместимостью не менее 3 дм</w:t>
      </w:r>
      <w:r w:rsidR="00C05BB4" w:rsidRPr="00C05BB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СТ 12036-85 Семена сельскохозяйственных культур. Правила приемки и методы отбора проб (с Изменениями N 1, 2)" style="width:8.15pt;height:17pt"/>
        </w:pic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для объединения точечных проб;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весы по </w:t>
      </w:r>
      <w:hyperlink r:id="rId12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29329-92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набор гирь по </w:t>
      </w:r>
      <w:hyperlink r:id="rId13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7328-2001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деревянные планки или линейки;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совок;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мешки из ткани различной вместимости для средних проб;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мешки из влагонепроницаемой пленки вместимостью 0,5-2,0 дм</w:t>
      </w:r>
      <w:r w:rsidR="00C05BB4" w:rsidRPr="00C05BB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pict>
          <v:shape id="_x0000_i1026" type="#_x0000_t75" alt="ГОСТ 12036-85 Семена сельскохозяйственных культур. Правила приемки и методы отбора проб (с Изменениями N 1, 2)" style="width:8.15pt;height:17pt"/>
        </w:pic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посуду стеклянную различной вместимости;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сургуч;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парафин по </w:t>
      </w:r>
      <w:hyperlink r:id="rId14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23683-89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сургучную печать;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пломбир;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пакеты из плотной бумаги.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2.2. Отбор проб проводят агрономы или другие специалисты хозяйств, опытных учреждений, заготовительных организаций, прошедшие инструктаж в государственной семенной инспекции и имеющие удостоверение на право отбора проб.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lastRenderedPageBreak/>
        <w:t>2.3. Отбор точечных проб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2.3.1. Отбор точечных проб от семян в мешках и пакетах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2.3.1.1. Из каждого мешка, выделенного из партии по табл.1, 2, п.1.5, отбирают одну точечную пробу. Места отбора чередуют, отбирая точечную пробу сверху, в середине и внизу мешка.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Из расшитых мешков точечные пробы берут конусным или цилиндрическим щупом, из зашитых - мешочным щупом с последующей заделкой проколов мешка. Прокол в бумажном мешке сразу после отбора пробы заклеивают кусками плотной бумаги или другого материала размером не менее 70х70 мм. От крупных и малосыпучих семян пробы берут рукой из расшитых мешков.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2.3.1.2. Для семян овощных культур, упакованных в пакеты, точечной пробой является пакет, отобранный по табл.2.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2.3.2. Отбор точечных проб от насыпи семян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2.3.2.1. От семян, хранящихся или транспортируемых насыпью, точечные пробы отбирают конусным, цилиндрическим щупом или пробоотборником.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 xml:space="preserve">Пробы берут из разных мест партии или контрольной единицы семян по схемам, указанным 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черт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.1 и 1а: в пяти местах насыпи, если масса партии 250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ц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и менее, и в одиннадцати местах, если масса партии более 250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ц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noProof/>
          <w:color w:val="2D2D2D"/>
          <w:sz w:val="28"/>
          <w:szCs w:val="28"/>
          <w:lang w:eastAsia="ru-RU"/>
        </w:rPr>
        <w:drawing>
          <wp:inline distT="0" distB="0" distL="0" distR="0">
            <wp:extent cx="758825" cy="793750"/>
            <wp:effectExtent l="19050" t="0" r="3175" b="0"/>
            <wp:docPr id="3" name="Рисунок 3" descr="ГОСТ 12036-85 Семена сельскохозяйственных культур. Правила приемки и методы отбора проб (с Изменениями N 1,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СТ 12036-85 Семена сельскохозяйственных культур. Правила приемки и методы отбора проб (с Изменениями N 1, 2)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Черт.1</w:t>
      </w:r>
    </w:p>
    <w:p w:rsidR="000A0543" w:rsidRPr="00F50C79" w:rsidRDefault="000A0543" w:rsidP="000A054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noProof/>
          <w:color w:val="2D2D2D"/>
          <w:sz w:val="28"/>
          <w:szCs w:val="28"/>
          <w:lang w:eastAsia="ru-RU"/>
        </w:rPr>
        <w:drawing>
          <wp:inline distT="0" distB="0" distL="0" distR="0">
            <wp:extent cx="1906270" cy="793750"/>
            <wp:effectExtent l="19050" t="0" r="0" b="0"/>
            <wp:docPr id="4" name="Рисунок 4" descr="ГОСТ 12036-85 Семена сельскохозяйственных культур. Правила приемки и методы отбора проб (с Изменениями N 1,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СТ 12036-85 Семена сельскохозяйственных культур. Правила приемки и методы отбора проб (с Изменениями N 1, 2)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Черт.1а </w:t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В каждом из указанных на чертежах 1 и 1а мест насыпи отбирают три точечные пробы семян: в верхнем слое - на глубине 10-20 см от поверхности, в среднем и нижнем - у пола.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br/>
      </w:r>
      <w:proofErr w:type="gramStart"/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(Измененная редакция, </w:t>
      </w:r>
      <w:proofErr w:type="spellStart"/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Изм</w:t>
      </w:r>
      <w:proofErr w:type="spellEnd"/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.</w:t>
      </w:r>
      <w:proofErr w:type="gramEnd"/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N 1).</w:t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2.3.2.2. Если масса насыпи семян больше указанной в приложении 1, ее условно делят на контрольные единицы и от каждой отбирают точечные пробы по п.2.3.2.1. При размещении контрольной единицы в нескольких закромах склада или на нескольких автомашинах точечные пробы отбирают в каждом закроме (автомашине), как указано в п.2.3.2.1.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2.3.2.3. При разгрузке или загрузке вагонов из силосных емкостей, не имеющих специальных устрой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ств дл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я отбора проб, точечные пробы отбирают из струи перемещаемых семян через равные промежутки времени, которые устанавливают с таким расчетом, чтобы общая масса точечных проб была не менее 100 г на 1 т семян. Точечные пробы берут из падающей струи семян. Отбор проб с ленты транспортера не допускается.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 xml:space="preserve">Допускается проводить отбор точечных проб (а при автоматическом отборе - объединенной пробы) семян кукурузы на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кукурузообрабатывающих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заводах из массы перемещаемых семян до их поступления в агрегат для протравливания.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2.3.3. Отбор точечных проб от семян кукурузы в початках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2.3.3.1. От семян кукурузы в початках, хранящихся насыпью в закромах, точечные пробы отбирают руками в пяти местах в трех слоях (сверху, в середине и внизу). Из каждого места отбирают подряд без выбора по пять початков - всего 75 початков.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F50C79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2.3.3.2. От семян кукурузы, хранящейся в бунтах, точечные пробы отбирают в пяти местах (черт.2).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noProof/>
          <w:color w:val="2D2D2D"/>
          <w:sz w:val="28"/>
          <w:szCs w:val="28"/>
          <w:lang w:eastAsia="ru-RU"/>
        </w:rPr>
        <w:drawing>
          <wp:inline distT="0" distB="0" distL="0" distR="0">
            <wp:extent cx="3329940" cy="1130300"/>
            <wp:effectExtent l="19050" t="0" r="3810" b="0"/>
            <wp:docPr id="5" name="Рисунок 5" descr="ГОСТ 12036-85 Семена сельскохозяйственных культур. Правила приемки и методы отбора проб (с Изменениями N 1,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ОСТ 12036-85 Семена сельскохозяйственных культур. Правила приемки и методы отбора проб (с Изменениями N 1, 2)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Черт.2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центре бунта початки отбирают из трех слоев на разной глубине, по краям бунта - в одном слое с четырех противоположных сторон (всего 7 точечных проб). Из каждого места отбора берут подряд без выбора по 10 початков (всего 70 початков).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2.3.3.3. От семян, находящихся в вагоне, точечные пробы отбирают через равные промежутки времени при погрузке или выгрузке. От каждой контрольной единицы отбирают 75 початков.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2.3.3.4. От семян, находящихся в автомашине, точечные пробы отбирают в каждой автомашине в пяти местах (в центре и по краям автомашины) в двух слоях. В месте отбора берут подряд без выбора 2 початка, всего 20 початков от автомашины. В контрольную единицу может войти несколько автомашин. При погрузке или выгрузке точечные пробы отбирают в процессе работы через равные промежутки времени.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26E0C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2.3.3.5. От семян в мешках точечные пробы отбирают руками: по два початка из каждого мешка при наличии в партии до 10 мешков; по одному початку из каждого мешка, выделенного для отбора проб по п.1.5.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Запломбированные мешки после отбора проб пломбируют заново, о чем</w:t>
      </w:r>
      <w:r w:rsidR="00C26E0C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делают отметку в акте отбора проб.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2.3.3.6. Отобранные початки кукурузы подсчитывают; если их 70 и более, то отбирают каждый третий початок, но не менее 25. Початки обмолачивают, из семян выделяют средние пробы, как указано в п.2.5.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2.3.4. Отобранные точечные пробы семян просматривают и визуально сравнивают по засоренности, запаху, цвету и другим признакам для установления однородности партии. При резком отличии одной или нескольких точечных проб отбор проб прекращают.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2.4. Составление объединенной пробы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2.4.1. Точечные пробы, отобранные от партии (контрольной единицы), после установления их однородности соединяют в объединенную пробу. Если масса объединенной пробы оказалась недостаточной, из разных мест партии отбирают дополнительные точечные пробы.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2.5. Выделение средней пробы</w:t>
      </w: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26E0C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2.5.1. Из объединенной пробы выделяют средние пробы: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первую - для определения чистоты, всхожести, жизнеспособности, подлинности, массы 1000 семян, а для семян льна - и зараженности болезнями;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вторую - для определения влажности и заселенности амбарными вредителями;</w:t>
      </w:r>
      <w:r w:rsidR="004A3496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0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третью - для определения зараженности семян болезнями во влажной камере и на питательных средах.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2.5.2. Среднюю пробу выделяют из объединенной пробы методом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квартования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(черт.3). Для этого семена объединенной пробы высыпают на ровную поверхность, тщательно перемешивают двумя планками или линейками, придают слою семян форму квадрата толщиной до 1,5 см для мелкосеменных культур и до 5,0 см для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крупносеменных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культур (кормовые бобы, арахис и др.), а затем делят квадрат по диагонали на четыре треугольника. Из двух противоположных треугольников семена объединяют для составления первой пробы, а семена в двух оставшихся треугольниках объединяют для выделения из них второй и третьей проб. Семена, выделенные для составления первой пробы, снова делят на четыре треугольника и удаляют семена из двух противоположных треугольников. Такое деление продолжают до тех пор, пока не будет набрано необходимое количество семян для первой средней пробы.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noProof/>
          <w:color w:val="2D2D2D"/>
          <w:sz w:val="28"/>
          <w:szCs w:val="28"/>
          <w:lang w:eastAsia="ru-RU"/>
        </w:rPr>
        <w:drawing>
          <wp:inline distT="0" distB="0" distL="0" distR="0">
            <wp:extent cx="4287520" cy="2061845"/>
            <wp:effectExtent l="19050" t="0" r="0" b="0"/>
            <wp:docPr id="6" name="Рисунок 6" descr="ГОСТ 12036-85 Семена сельскохозяйственных культур. Правила приемки и методы отбора проб (с Изменениями N 1,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ОСТ 12036-85 Семена сельскохозяйственных культур. Правила приемки и методы отбора проб (с Изменениями N 1, 2)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20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43" w:rsidRPr="00F50C79" w:rsidRDefault="000A0543" w:rsidP="00F50C7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Черт.3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F50C79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2.5.3. Вторую и третью пробы выделяют таким же способом из семян, оставленных для этой цели после первого деления объединенной пробы.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Допускается считать объединенную пробу средней, если их массы равны.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2.5.4. Первую среднюю пробу массой, указанной в приложении 1, помещают в чистый мешок из плотной ткани, внутрь вкладывают этикетку (приложение 3) и пломбируют или опечатывают. Допускаются два способа опечатывания средней пробы. При первом способе из плотной бумаги или картона вырезают два квадрата размером 50х50 мм. На одном из них прорезают два отверстия, в каждое пропускают концы шпагата, которым завязан мешок, завязывают, раскладывают на картоне и сверху наклеивают второй квадрат с подписью лица, отобравшего пробу. При втором способе концы шпагата, которым завязан мешок, раскладывают по мешку и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заклеивают этикеткой (приложение 3).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7112AD" w:rsidRDefault="000A0543" w:rsidP="00F50C79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2.5.5. Вторую среднюю пробу помещают в чистую сухую стеклянную посуду. 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7112AD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 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Для семян бобов, фасоли, арахиса, клещевины используют посуду вместимостью 1 дм</w:t>
      </w:r>
      <w:r w:rsidR="00C05BB4" w:rsidRPr="00C05BB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pict>
          <v:shape id="_x0000_i1027" type="#_x0000_t75" alt="ГОСТ 12036-85 Семена сельскохозяйственных культур. Правила приемки и методы отбора проб (с Изменениями N 1, 2)" style="width:8.15pt;height:17pt"/>
        </w:pic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 Для зерновых культур (кроме проса), конопли, сафлора, эспарцета, свеклы, тыквы, арбуза, зернобобовых культур, подсолнечника, сои, люпина однолетнего, вики (всех видов) используют посуду вместимостью 0,5 дм</w:t>
      </w:r>
      <w:r w:rsidR="00C05BB4" w:rsidRPr="00C05BB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pict>
          <v:shape id="_x0000_i1028" type="#_x0000_t75" alt="ГОСТ 12036-85 Семена сельскохозяйственных культур. Правила приемки и методы отбора проб (с Изменениями N 1, 2)" style="width:8.15pt;height:17pt"/>
        </w:pic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. Для семян проса, льна, люпина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многолистного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суданки, сорго и используют посуду вместимостью 0,25 дм</w:t>
      </w:r>
      <w:r w:rsidR="00C05BB4" w:rsidRPr="00C05BB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pict>
          <v:shape id="_x0000_i1029" type="#_x0000_t75" alt="ГОСТ 12036-85 Семена сельскохозяйственных культур. Правила приемки и методы отбора проб (с Изменениями N 1, 2)" style="width:8.15pt;height:17pt"/>
        </w:pic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7112AD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Для семян других культур масса второй средней пробы должна соответствовать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указанной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приложении 1. Пробу помещают в посуду соответствующей</w:t>
      </w:r>
      <w:r w:rsidR="007112AD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емкости.</w:t>
      </w:r>
    </w:p>
    <w:p w:rsidR="000A0543" w:rsidRPr="00F50C79" w:rsidRDefault="000A0543" w:rsidP="00F50C79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Посуду, заполненную семенами на 3/4 ее вместимости, плотно закрывают пробкой и заливают сургучом, парафином или обвязывают полиэтиленовой пленкой. На посуду наклеивают этикетку.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7112AD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Допускается помещать среднюю пробу семян во влагонепроницаемый мешок из пленки вместимостью 0,5-2,0 дм</w:t>
      </w:r>
      <w:r w:rsidR="00C05BB4" w:rsidRPr="00C05BB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pict>
          <v:shape id="_x0000_i1030" type="#_x0000_t75" alt="ГОСТ 12036-85 Семена сельскохозяйственных культур. Правила приемки и методы отбора проб (с Изменениями N 1, 2)" style="width:8.15pt;height:17pt"/>
        </w:pic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. Мешок 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закрывают горячим способом или дважды складывая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и крепко связывая края мешка, чтобы в нем осталось как можно меньше воздуха. К мешку привязывают этикетку (приложение 3).</w:t>
      </w:r>
    </w:p>
    <w:p w:rsidR="000A0543" w:rsidRPr="00F50C79" w:rsidRDefault="000A0543" w:rsidP="00F50C79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2.5.6. Среднюю пробу для определения зараженности семян болезнями во влажной камере и на питательных средах отбирают в размере 200 г и помещают в бумажный пакет или мешок из ткани. Масса пробы для определения зараженности семян льна - по </w:t>
      </w:r>
      <w:hyperlink r:id="rId19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12044-93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F50C79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2.6. Отбор проб для проверки качества закупленных семян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26E0C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2.6.1. Отбор проб проводят: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7112AD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 доставке партии семян по железной дороге, водным или другим транспортом - во время или после их разгрузки, но не позднее 5 дней со дня поступления, для Камчатской области - 15 дней;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7112AD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 получении партии семян в другом хозяйстве или организации - во время отпуска семян со склада.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7112AD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Пробы отбирает агроном или другой специалист хозяйства (организации) - получателя семян при участии представителя второй заинтересованности стороны (отправителя семян), специалистов государственной семенной инспекции или сельскохозяйственных органов. Допускается отсутствие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представителя второй заинтересованной стороны.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(Измененная редакция,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Изм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N 2).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26E0C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2.6.2. От каждой контрольной единицы одновременно отбирают две средние пробы: одну для анализа по месту получения семян, вторую (дубликат) оставляют в хозяйстве (организации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)-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получателе на случай арбитражного определения.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7112AD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Верх мешков проб-дубликатов, дважды подвернув край, прошивают накрест, чтобы начало и конец нитки были в одном углу мешка. Концы нитки, которые должны быть не менее 5 см каждый, пломбируют или опечатывают печатью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госсеминспекции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или другой незаинтересованной организации, специалисты которой принимали участие в отборе проб. На мешки наклеивают этикетки.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7112AD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хозяйстве (организации) - получателе семян оставляют два экземпляра акта об отборе проб (приложение 2) с отметкой в правом углу: "На случай арбитражного анализа".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7112AD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Дубликаты проб хранят в том же помещении, где находится партия семян, или в аналогичных условиях.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F50C79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2.7. Оформление и хранение средних проб семян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26E0C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2.7.1. Отбор проб оформляют актом установленной формы в соответствии с приложением 2. 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7112AD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Один экземпляр акта или два (в случае, указанном в п.2.6.2) оставляют в хозяйстве или организации, где отобрана средняя проба семян, один экземпляр отправляют со средней пробой в государственную семенную инспекцию.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F50C79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2.7.2. Среднюю пробу представляют на анализ в течение 2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сут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после отбора. До отправки на анализ пробы хранят в том же помещении, где находится партия семян, от которых она отобрана, или в аналогичных условиях.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F50C79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2.7.3. Поступившую на анализ среднюю пробу взвешивают без упаковки на весах по </w:t>
      </w:r>
      <w:hyperlink r:id="rId20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29329-92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с ценой поверочного деления не более 5 г для проб массой 250-1000 г и не более 1 г для проб массой менее 250 г.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26E0C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2.7.4. Каждую среднюю пробу регистрируют отдельно в журнале установленной формы. Ежегодно нумерацию проб в журнале начинают заново. Номер средней пробы проставляют на упаковке и на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сопроводительных документах.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="007112AD">
        <w:rPr>
          <w:rFonts w:ascii="Times New Roman" w:eastAsia="Times New Roman" w:hAnsi="Times New Roman" w:cs="Times New Roman"/>
          <w:color w:val="2D2D2D"/>
          <w:sz w:val="28"/>
          <w:szCs w:val="28"/>
          <w:lang w:val="uz-Cyrl-UZ" w:eastAsia="ru-RU"/>
        </w:rPr>
        <w:t xml:space="preserve">       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Выделенную из средней пробы навеску для определения зараженности семян льна болезнями регистрируют отдельным номером.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C26E0C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2.7.5. Оставшуюся от анализа часть средней пробы, а также навески с выделенным отходом семян (после анализа семян на чистоту) хранят в течение двух месяцев после окончания сева данной культуры в районе. По истечении указанного срока или при получении средней пробы </w:t>
      </w:r>
      <w:proofErr w:type="gram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семян</w:t>
      </w:r>
      <w:proofErr w:type="gram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на повторный анализ оставшуюся среднюю пробу и навески из нее обезличивают в установленном порядке.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0A0543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ПРИЛОЖЕНИЕ 1 (обязательное). МАССА КОНТРОЛЬНОЙ ЕДИНИЦЫ И СРЕДНЕЙ ПРОБЫ СЕМЯН</w:t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ПРИЛОЖЕНИЕ 1</w:t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  <w:t>Обязательное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73"/>
        <w:gridCol w:w="2730"/>
        <w:gridCol w:w="1752"/>
      </w:tblGrid>
      <w:tr w:rsidR="000A0543" w:rsidRPr="00F50C79" w:rsidTr="000A0543">
        <w:trPr>
          <w:trHeight w:val="15"/>
        </w:trPr>
        <w:tc>
          <w:tcPr>
            <w:tcW w:w="5914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Масса партии 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  <w:t xml:space="preserve">(контрольной единицы),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ц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, 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  <w:t>не более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Масса средней пробы, 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*</w:t>
            </w:r>
          </w:p>
        </w:tc>
      </w:tr>
      <w:tr w:rsidR="000A0543" w:rsidRPr="00F50C79" w:rsidTr="000A054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Арахис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Арбуз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Артишок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Базилик огородный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Баклажан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Бамия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Бобы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Вика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Галега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Гаолян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Горох все виды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Горошек мышиный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Горчица белая,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сарептская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, черная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Горчица салатная (листовая)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Гречиха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Двукисточник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тростниковый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Джугара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Донник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Дурман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Дыня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Ежовник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хлебный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Ежа сборная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Житняк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Кабачок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Капуска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(все виды)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Кассия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Катран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Кенаф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Клевер луговой (красный), опрокинутый и пунцовый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Клевер ползучий и гибридный (белый и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розовый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Клещевина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Конопля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Кориандр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Кострец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Кукуруза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Кунжут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Левзея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сафлоровидная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Лен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Леспедеца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двуцветная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Лисохвост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Лук (все виды)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Лобия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Люпин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многолистный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Люпин однолетний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Люффа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Люцерна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Лядвенец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Ляллеманция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Марена красильная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Махорка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Маш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Могар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Молочай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Мордовник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шароголовый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Морковь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Ноготки лекарственные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Нут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Овес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Овсяница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Огуречная трава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Огурец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Пажитник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Перец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Петрушка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Просо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Пшеница и полба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Пырей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бескорневищный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Перилла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Перко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Патиссон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Просо африканское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Подсолнечник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Расторопша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пятнистая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Рапс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Ревень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Редис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Редька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Рис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Рожь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Рыжик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Райграс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Салат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Сафлор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Свекла столовая и кормовая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Секуринега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полукустарниковая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Сераделла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Сорго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Соя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Спаржа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Стальник полевой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Суданка и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сорго-суданковые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гибриды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Сурепица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Табак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Тритикале</w:t>
            </w:r>
            <w:proofErr w:type="gram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Тыква обыкновенная и тыква бутылочная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Тыква крупноплодная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Тыква мускатная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Тимофеевка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Томат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Укроп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Фасоль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Фенхель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Чабер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Чечевица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Чина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Чина луговая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Чумиза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Шалфей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Шпинат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Щавель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Эспарцет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Эфедра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хвощевая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Язвенник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Ячмень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</w:tr>
      <w:tr w:rsidR="000A0543" w:rsidRPr="00F50C79" w:rsidTr="000A0543">
        <w:tc>
          <w:tcPr>
            <w:tcW w:w="59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Все другие культуры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</w:tbl>
    <w:p w:rsidR="000A0543" w:rsidRPr="00F50C79" w:rsidRDefault="000A0543" w:rsidP="00C16C6E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_______________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* Допускаемое отклонение массы средней пробы ±10%.</w:t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  <w:t>Примечания:</w:t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F50C79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1. Масса средних проб семян тепличных сортов и гибридов огурца: первой - 60 г, второй - 40 г. Масса средней пробы семян тепличных сортов томата - 30 г.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F50C79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2. Масса средней пробы семян элиты томата, баклажана, перца, салата и сельдерея - 15 г.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F50C79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3. Для семян мелкосеменных культур (навеска 10 г и менее по </w:t>
      </w:r>
      <w:hyperlink r:id="rId21" w:history="1">
        <w:r w:rsidRPr="00F50C79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ГОСТ 12037-81</w:t>
        </w:r>
      </w:hyperlink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 допускается уменьшение средней пробы до размера двойной навески в случае проведения повторного анализа только на всхожесть.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0A0543" w:rsidRPr="00F50C79" w:rsidRDefault="000A0543" w:rsidP="007112AD">
      <w:pPr>
        <w:shd w:val="clear" w:color="auto" w:fill="FFFFFF"/>
        <w:spacing w:after="0" w:line="285" w:lineRule="atLeast"/>
        <w:ind w:firstLine="567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4. Массу средней пробы для смеси семян устанавливают по преобладающей культуре, а в случае одинакового содержания компонентов - по культуре, для которой по приложению 1 предусмотрен большой размер средней пробы.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ПРИЛОЖЕНИЕ 1. </w:t>
      </w:r>
      <w:proofErr w:type="gramStart"/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(Измененная редакция, </w:t>
      </w:r>
      <w:proofErr w:type="spellStart"/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Изм</w:t>
      </w:r>
      <w:proofErr w:type="spellEnd"/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.</w:t>
      </w:r>
      <w:proofErr w:type="gramEnd"/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N 1).</w:t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</w:r>
      <w:r w:rsidRPr="00F50C79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ПРИЛОЖЕНИЕ 2 (обязательное). АКТ ОТБОРА СРЕДНИХ ПРОБ ДЛЯ ОПРЕДЕЛЕНИЯ ПОСЕВНЫХ КАЧЕСТВ СЕМЯН</w:t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ПРИЛОЖЕНИЕ 2 </w:t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  <w:t>Обязательное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10"/>
        <w:gridCol w:w="604"/>
        <w:gridCol w:w="4319"/>
        <w:gridCol w:w="328"/>
        <w:gridCol w:w="1074"/>
        <w:gridCol w:w="737"/>
        <w:gridCol w:w="169"/>
        <w:gridCol w:w="326"/>
        <w:gridCol w:w="326"/>
        <w:gridCol w:w="862"/>
      </w:tblGrid>
      <w:tr w:rsidR="000A0543" w:rsidRPr="00F50C79" w:rsidTr="000A0543">
        <w:trPr>
          <w:trHeight w:val="15"/>
        </w:trPr>
        <w:tc>
          <w:tcPr>
            <w:tcW w:w="739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5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6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  <w:t>АКТ N</w:t>
            </w:r>
          </w:p>
        </w:tc>
      </w:tr>
      <w:tr w:rsidR="000A0543" w:rsidRPr="00F50C79" w:rsidTr="000A0543">
        <w:tc>
          <w:tcPr>
            <w:tcW w:w="116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отбора средних проб для определения посевных качеств семян, принадлежащих</w:t>
            </w:r>
          </w:p>
        </w:tc>
      </w:tr>
      <w:tr w:rsidR="000A0543" w:rsidRPr="00F50C79" w:rsidTr="000A0543">
        <w:tc>
          <w:tcPr>
            <w:tcW w:w="868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642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название хозяйства (организации), района, области (республики)</w:t>
            </w:r>
          </w:p>
        </w:tc>
      </w:tr>
      <w:tr w:rsidR="000A0543" w:rsidRPr="00F50C79" w:rsidTr="000A0543">
        <w:tc>
          <w:tcPr>
            <w:tcW w:w="9794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Мною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  <w:t>19 г.</w:t>
            </w:r>
          </w:p>
        </w:tc>
      </w:tr>
      <w:tr w:rsidR="000A0543" w:rsidRPr="00F50C79" w:rsidTr="000A054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должность, фамилия, инициалы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6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при участии</w:t>
            </w:r>
          </w:p>
        </w:tc>
      </w:tr>
      <w:tr w:rsidR="000A0543" w:rsidRPr="00F50C79" w:rsidTr="000A0543"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организация, должность, фамилия и инициалы каждого 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</w:r>
          </w:p>
        </w:tc>
      </w:tr>
      <w:tr w:rsidR="000A0543" w:rsidRPr="00F50C79" w:rsidTr="000A0543">
        <w:tc>
          <w:tcPr>
            <w:tcW w:w="11642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заполняется при отборе на случай арбитражного анализа</w:t>
            </w:r>
          </w:p>
        </w:tc>
      </w:tr>
      <w:tr w:rsidR="000A0543" w:rsidRPr="00F50C79" w:rsidTr="000A0543">
        <w:tc>
          <w:tcPr>
            <w:tcW w:w="116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проведен осмотр семян и отбор по ГОСТ 12036-85 средних проб от партий, хранящихся</w:t>
            </w:r>
          </w:p>
        </w:tc>
      </w:tr>
      <w:tr w:rsidR="000A0543" w:rsidRPr="00F50C79" w:rsidTr="000A0543">
        <w:tc>
          <w:tcPr>
            <w:tcW w:w="961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642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бригада, отделение совхоза, элеватор и др.</w:t>
            </w:r>
          </w:p>
        </w:tc>
      </w:tr>
    </w:tbl>
    <w:p w:rsidR="000A0543" w:rsidRPr="00F50C79" w:rsidRDefault="000A0543" w:rsidP="000A0543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1. Сведения о семенах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2"/>
        <w:gridCol w:w="439"/>
        <w:gridCol w:w="391"/>
        <w:gridCol w:w="473"/>
        <w:gridCol w:w="461"/>
        <w:gridCol w:w="106"/>
        <w:gridCol w:w="303"/>
        <w:gridCol w:w="355"/>
        <w:gridCol w:w="207"/>
        <w:gridCol w:w="195"/>
        <w:gridCol w:w="392"/>
        <w:gridCol w:w="276"/>
        <w:gridCol w:w="190"/>
        <w:gridCol w:w="446"/>
        <w:gridCol w:w="441"/>
        <w:gridCol w:w="81"/>
        <w:gridCol w:w="274"/>
        <w:gridCol w:w="299"/>
        <w:gridCol w:w="462"/>
        <w:gridCol w:w="754"/>
        <w:gridCol w:w="515"/>
        <w:gridCol w:w="415"/>
        <w:gridCol w:w="125"/>
        <w:gridCol w:w="208"/>
        <w:gridCol w:w="128"/>
        <w:gridCol w:w="392"/>
        <w:gridCol w:w="370"/>
        <w:gridCol w:w="295"/>
      </w:tblGrid>
      <w:tr w:rsidR="000A0543" w:rsidRPr="00F50C79" w:rsidTr="00F50C79">
        <w:trPr>
          <w:trHeight w:val="15"/>
        </w:trPr>
        <w:tc>
          <w:tcPr>
            <w:tcW w:w="363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gridSpan w:val="2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gridSpan w:val="2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gridSpan w:val="2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gridSpan w:val="2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gridSpan w:val="3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543" w:rsidRPr="00F50C79" w:rsidTr="00F50C79"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мер по пор.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Кул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ь-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тура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Сорт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ва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ние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, номер и дата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сорто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вого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доку-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мен-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та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Сор-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вая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чис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тота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ти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пич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ность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37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е-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про-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дук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ция</w:t>
            </w:r>
            <w:proofErr w:type="spellEnd"/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Год ур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жая</w:t>
            </w:r>
            <w:proofErr w:type="spellEnd"/>
          </w:p>
        </w:tc>
        <w:tc>
          <w:tcPr>
            <w:tcW w:w="36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мер пар-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тии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Ма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пар-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тии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ц</w:t>
            </w:r>
            <w:proofErr w:type="spellEnd"/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мера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конт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роль-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ных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еди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ниц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Чи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ло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мест (меш-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ков)</w:t>
            </w:r>
          </w:p>
        </w:tc>
        <w:tc>
          <w:tcPr>
            <w:tcW w:w="4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Место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хр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нения се-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мян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, номер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скла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да,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зак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рома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Откуда и когда пол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чены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се-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мена, номер вагона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Какой по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ботке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под-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вер-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га-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лись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се-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мена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Который раз партия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подве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гается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анализу, дата и номер последнего анализа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Пров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дилось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ли про-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трав-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лива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ние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и каким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хими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катом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 xml:space="preserve">кого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ана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лиза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отоб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рана про-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ба</w:t>
            </w:r>
          </w:p>
        </w:tc>
        <w:tc>
          <w:tcPr>
            <w:tcW w:w="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на-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че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ние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се-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мян</w:t>
            </w:r>
            <w:proofErr w:type="spellEnd"/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Количество предста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в-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ленных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проб</w:t>
            </w:r>
          </w:p>
        </w:tc>
      </w:tr>
      <w:tr w:rsidR="000A0543" w:rsidRPr="00F50C79" w:rsidTr="00F50C79">
        <w:tc>
          <w:tcPr>
            <w:tcW w:w="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е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шоч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ке</w:t>
            </w:r>
            <w:proofErr w:type="spellEnd"/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в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б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тыл-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ке</w:t>
            </w:r>
            <w:proofErr w:type="spellEnd"/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в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а-</w:t>
            </w:r>
            <w:proofErr w:type="gram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ке</w:t>
            </w:r>
            <w:proofErr w:type="spellEnd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-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тах</w:t>
            </w:r>
            <w:proofErr w:type="spellEnd"/>
          </w:p>
        </w:tc>
      </w:tr>
      <w:tr w:rsidR="000A0543" w:rsidRPr="00F50C79" w:rsidTr="00F50C79"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21</w:t>
            </w:r>
          </w:p>
        </w:tc>
      </w:tr>
      <w:tr w:rsidR="000A0543" w:rsidRPr="00F50C79" w:rsidTr="00F50C79"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0A0543" w:rsidRPr="00F50C79" w:rsidTr="00F50C79">
        <w:trPr>
          <w:trHeight w:val="15"/>
        </w:trPr>
        <w:tc>
          <w:tcPr>
            <w:tcW w:w="2274" w:type="dxa"/>
            <w:gridSpan w:val="6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3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gridSpan w:val="3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4" w:type="dxa"/>
            <w:gridSpan w:val="3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" w:type="dxa"/>
            <w:gridSpan w:val="2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9" w:type="dxa"/>
            <w:gridSpan w:val="6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gridSpan w:val="4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F50C79">
        <w:tc>
          <w:tcPr>
            <w:tcW w:w="536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2. Пробы направлены </w:t>
            </w:r>
            <w:proofErr w:type="gram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399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государственную семенную инспекцию.</w:t>
            </w:r>
          </w:p>
        </w:tc>
      </w:tr>
      <w:tr w:rsidR="000A0543" w:rsidRPr="00F50C79" w:rsidTr="00F50C79">
        <w:tc>
          <w:tcPr>
            <w:tcW w:w="22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F50C79">
        <w:tc>
          <w:tcPr>
            <w:tcW w:w="506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Подпись лица, отобравшего пробы</w:t>
            </w:r>
          </w:p>
        </w:tc>
        <w:tc>
          <w:tcPr>
            <w:tcW w:w="428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Подписи членов комиссии</w:t>
            </w:r>
          </w:p>
        </w:tc>
      </w:tr>
      <w:tr w:rsidR="000A0543" w:rsidRPr="00F50C79" w:rsidTr="00F50C79">
        <w:tc>
          <w:tcPr>
            <w:tcW w:w="313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F50C79">
        <w:tc>
          <w:tcPr>
            <w:tcW w:w="9355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F50C79">
        <w:tc>
          <w:tcPr>
            <w:tcW w:w="935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Гарантия: сохранность партии семян от смешения, засорения, понижения всхожести и других посевных качеств, а также сохранность дубликатов проб при их отборе на случай арбитражного анализа </w:t>
            </w:r>
          </w:p>
        </w:tc>
      </w:tr>
      <w:tr w:rsidR="000A0543" w:rsidRPr="00F50C79" w:rsidTr="00F50C79">
        <w:tc>
          <w:tcPr>
            <w:tcW w:w="8169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F50C79">
        <w:tc>
          <w:tcPr>
            <w:tcW w:w="398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1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гарантирует.</w:t>
            </w:r>
          </w:p>
        </w:tc>
      </w:tr>
      <w:tr w:rsidR="000A0543" w:rsidRPr="00F50C79" w:rsidTr="00F50C79">
        <w:tc>
          <w:tcPr>
            <w:tcW w:w="3984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название организации, хозяйства </w:t>
            </w:r>
          </w:p>
        </w:tc>
        <w:tc>
          <w:tcPr>
            <w:tcW w:w="5371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F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F50C79">
        <w:tc>
          <w:tcPr>
            <w:tcW w:w="935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7112A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Подпись лица, ответственного за</w:t>
            </w:r>
            <w:r w:rsidR="007112AD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uz-Cyrl-UZ" w:eastAsia="ru-RU"/>
              </w:rPr>
              <w:t xml:space="preserve">  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хранение__________________________________</w:t>
            </w: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</w:r>
          </w:p>
        </w:tc>
      </w:tr>
      <w:tr w:rsidR="000A0543" w:rsidRPr="00F50C79" w:rsidTr="00F50C79">
        <w:tc>
          <w:tcPr>
            <w:tcW w:w="935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C16C6E">
            <w:pPr>
              <w:spacing w:after="0" w:line="285" w:lineRule="atLeast"/>
              <w:ind w:firstLine="493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Схема размещения контрольных единиц</w:t>
            </w:r>
          </w:p>
        </w:tc>
      </w:tr>
    </w:tbl>
    <w:p w:rsidR="000A0543" w:rsidRPr="00F50C79" w:rsidRDefault="000A0543" w:rsidP="000A0543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lastRenderedPageBreak/>
        <w:t>ПРИЛОЖЕНИЕ 3 (обязательное). ЭТИКЕТКА К СРЕДНЕЙ ПРОБЕ СЕМЯН, ОТОБРАННОЙ ПО АКТУ</w:t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  <w:t>ПРИЛОЖЕНИЕ 3 </w:t>
      </w:r>
      <w:r w:rsidRPr="00F50C79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  <w:t>Обязательное</w:t>
      </w:r>
    </w:p>
    <w:p w:rsidR="000A0543" w:rsidRPr="00F50C79" w:rsidRDefault="000A0543" w:rsidP="000A0543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N __________ от __________________ 19 ___ г.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0"/>
        <w:gridCol w:w="461"/>
        <w:gridCol w:w="312"/>
        <w:gridCol w:w="163"/>
        <w:gridCol w:w="163"/>
        <w:gridCol w:w="755"/>
        <w:gridCol w:w="457"/>
        <w:gridCol w:w="456"/>
        <w:gridCol w:w="5788"/>
      </w:tblGrid>
      <w:tr w:rsidR="000A0543" w:rsidRPr="00F50C79" w:rsidTr="000A0543">
        <w:trPr>
          <w:trHeight w:val="15"/>
        </w:trPr>
        <w:tc>
          <w:tcPr>
            <w:tcW w:w="924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7" w:type="dxa"/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1. Название хозяйства (организации)</w:t>
            </w:r>
          </w:p>
        </w:tc>
      </w:tr>
      <w:tr w:rsidR="000A0543" w:rsidRPr="00F50C79" w:rsidTr="000A0543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2. Культура</w:t>
            </w:r>
          </w:p>
        </w:tc>
      </w:tr>
      <w:tr w:rsidR="000A0543" w:rsidRPr="00F50C79" w:rsidTr="000A0543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9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3. Сорт</w:t>
            </w:r>
          </w:p>
        </w:tc>
      </w:tr>
      <w:tr w:rsidR="000A0543" w:rsidRPr="00F50C79" w:rsidTr="000A0543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4. Репродукция</w:t>
            </w:r>
          </w:p>
        </w:tc>
      </w:tr>
      <w:tr w:rsidR="000A0543" w:rsidRPr="00F50C79" w:rsidTr="000A0543"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5. Год урожая</w:t>
            </w:r>
          </w:p>
        </w:tc>
      </w:tr>
      <w:tr w:rsidR="000A0543" w:rsidRPr="00F50C79" w:rsidTr="000A0543"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6. Партия N</w:t>
            </w:r>
          </w:p>
        </w:tc>
      </w:tr>
      <w:tr w:rsidR="000A0543" w:rsidRPr="00F50C79" w:rsidTr="000A0543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9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7. Масса партии, </w:t>
            </w:r>
            <w:proofErr w:type="spellStart"/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ц</w:t>
            </w:r>
            <w:proofErr w:type="spellEnd"/>
          </w:p>
        </w:tc>
      </w:tr>
      <w:tr w:rsidR="000A0543" w:rsidRPr="00F50C79" w:rsidTr="000A0543">
        <w:tc>
          <w:tcPr>
            <w:tcW w:w="22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8. Контрольная единица N</w:t>
            </w:r>
          </w:p>
        </w:tc>
      </w:tr>
      <w:tr w:rsidR="000A0543" w:rsidRPr="00F50C79" w:rsidTr="000A0543">
        <w:tc>
          <w:tcPr>
            <w:tcW w:w="31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1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9. Вид анализа</w:t>
            </w:r>
          </w:p>
        </w:tc>
      </w:tr>
      <w:tr w:rsidR="000A0543" w:rsidRPr="00F50C79" w:rsidTr="000A0543"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</w:r>
          </w:p>
        </w:tc>
        <w:tc>
          <w:tcPr>
            <w:tcW w:w="96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Уполномоченный по отбору проб</w:t>
            </w:r>
          </w:p>
        </w:tc>
      </w:tr>
      <w:tr w:rsidR="000A0543" w:rsidRPr="00F50C79" w:rsidTr="000A0543">
        <w:tc>
          <w:tcPr>
            <w:tcW w:w="369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0543" w:rsidRPr="00F50C79" w:rsidTr="000A0543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F50C7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0A0543" w:rsidRPr="00F50C79" w:rsidTr="000A0543"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A0543" w:rsidRPr="00F50C79" w:rsidRDefault="000A0543" w:rsidP="000A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4621" w:rsidRPr="00F50C79" w:rsidRDefault="000A0543" w:rsidP="00F50C79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Текст документа сверен по: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официальное издание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Семена сельскохозяйственных культур.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 xml:space="preserve">Методы анализа: Сб. </w:t>
      </w:r>
      <w:proofErr w:type="spellStart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ГОСТов</w:t>
      </w:r>
      <w:proofErr w:type="spellEnd"/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 -</w:t>
      </w:r>
      <w:r w:rsidRPr="00F50C79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М.: ИПК Издательство стандартов, 2004</w:t>
      </w:r>
    </w:p>
    <w:sectPr w:rsidR="00C24621" w:rsidRPr="00F50C79" w:rsidSect="00F50C7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0543"/>
    <w:rsid w:val="00002D48"/>
    <w:rsid w:val="00003661"/>
    <w:rsid w:val="000040F7"/>
    <w:rsid w:val="000103F0"/>
    <w:rsid w:val="00010698"/>
    <w:rsid w:val="00011E20"/>
    <w:rsid w:val="00014FB5"/>
    <w:rsid w:val="000152C6"/>
    <w:rsid w:val="000160C9"/>
    <w:rsid w:val="00017BBC"/>
    <w:rsid w:val="00017F4E"/>
    <w:rsid w:val="0002140B"/>
    <w:rsid w:val="0002220E"/>
    <w:rsid w:val="0003594C"/>
    <w:rsid w:val="0003799F"/>
    <w:rsid w:val="000533C0"/>
    <w:rsid w:val="0006675D"/>
    <w:rsid w:val="0006792D"/>
    <w:rsid w:val="00070738"/>
    <w:rsid w:val="0007424A"/>
    <w:rsid w:val="00075BEE"/>
    <w:rsid w:val="00080CA9"/>
    <w:rsid w:val="000812B3"/>
    <w:rsid w:val="00082D7B"/>
    <w:rsid w:val="00083B2C"/>
    <w:rsid w:val="00085823"/>
    <w:rsid w:val="000858B2"/>
    <w:rsid w:val="00086AC1"/>
    <w:rsid w:val="00087192"/>
    <w:rsid w:val="0009017D"/>
    <w:rsid w:val="000921FC"/>
    <w:rsid w:val="000937ED"/>
    <w:rsid w:val="00093C51"/>
    <w:rsid w:val="00095376"/>
    <w:rsid w:val="000A0543"/>
    <w:rsid w:val="000A0617"/>
    <w:rsid w:val="000B3F88"/>
    <w:rsid w:val="000B7BC3"/>
    <w:rsid w:val="000C00C6"/>
    <w:rsid w:val="000D3DDF"/>
    <w:rsid w:val="000D504D"/>
    <w:rsid w:val="000D5A0C"/>
    <w:rsid w:val="000D5CC8"/>
    <w:rsid w:val="000E056D"/>
    <w:rsid w:val="000E1ECC"/>
    <w:rsid w:val="000E2B4F"/>
    <w:rsid w:val="000E49F7"/>
    <w:rsid w:val="000F2DC0"/>
    <w:rsid w:val="000F47C5"/>
    <w:rsid w:val="000F6BAA"/>
    <w:rsid w:val="001003FA"/>
    <w:rsid w:val="00101480"/>
    <w:rsid w:val="001035C0"/>
    <w:rsid w:val="001066DC"/>
    <w:rsid w:val="00114CDF"/>
    <w:rsid w:val="001168B9"/>
    <w:rsid w:val="00130511"/>
    <w:rsid w:val="0013194F"/>
    <w:rsid w:val="00133FB4"/>
    <w:rsid w:val="00135195"/>
    <w:rsid w:val="00136C76"/>
    <w:rsid w:val="00141BCE"/>
    <w:rsid w:val="00142FF7"/>
    <w:rsid w:val="00146032"/>
    <w:rsid w:val="00170C9B"/>
    <w:rsid w:val="0018182E"/>
    <w:rsid w:val="001837C4"/>
    <w:rsid w:val="0018686A"/>
    <w:rsid w:val="00197699"/>
    <w:rsid w:val="001A335E"/>
    <w:rsid w:val="001B318A"/>
    <w:rsid w:val="001C381B"/>
    <w:rsid w:val="001D0082"/>
    <w:rsid w:val="001D2C70"/>
    <w:rsid w:val="001D2E8D"/>
    <w:rsid w:val="001D3E89"/>
    <w:rsid w:val="001E2BE3"/>
    <w:rsid w:val="001F04BB"/>
    <w:rsid w:val="001F0893"/>
    <w:rsid w:val="001F1A80"/>
    <w:rsid w:val="001F2FB5"/>
    <w:rsid w:val="001F7D00"/>
    <w:rsid w:val="0020549D"/>
    <w:rsid w:val="002070C3"/>
    <w:rsid w:val="0020789C"/>
    <w:rsid w:val="00211FE9"/>
    <w:rsid w:val="00221CA1"/>
    <w:rsid w:val="0022465C"/>
    <w:rsid w:val="002304AC"/>
    <w:rsid w:val="002341A0"/>
    <w:rsid w:val="0023741B"/>
    <w:rsid w:val="002378A3"/>
    <w:rsid w:val="002414AD"/>
    <w:rsid w:val="00252693"/>
    <w:rsid w:val="00252F0D"/>
    <w:rsid w:val="00256403"/>
    <w:rsid w:val="002644DD"/>
    <w:rsid w:val="00273A96"/>
    <w:rsid w:val="00277401"/>
    <w:rsid w:val="00281303"/>
    <w:rsid w:val="002919FE"/>
    <w:rsid w:val="0029384E"/>
    <w:rsid w:val="00297EFF"/>
    <w:rsid w:val="002A2F3F"/>
    <w:rsid w:val="002A3631"/>
    <w:rsid w:val="002B6A55"/>
    <w:rsid w:val="002B7884"/>
    <w:rsid w:val="002D0BB3"/>
    <w:rsid w:val="002D5EE5"/>
    <w:rsid w:val="002D7393"/>
    <w:rsid w:val="002E155C"/>
    <w:rsid w:val="002F1E83"/>
    <w:rsid w:val="002F1F63"/>
    <w:rsid w:val="002F364B"/>
    <w:rsid w:val="00300F5E"/>
    <w:rsid w:val="00303634"/>
    <w:rsid w:val="00310221"/>
    <w:rsid w:val="00321CA0"/>
    <w:rsid w:val="00325C9B"/>
    <w:rsid w:val="00337B58"/>
    <w:rsid w:val="00341CE4"/>
    <w:rsid w:val="00342A0F"/>
    <w:rsid w:val="00347D97"/>
    <w:rsid w:val="00360EA8"/>
    <w:rsid w:val="003620C7"/>
    <w:rsid w:val="00363118"/>
    <w:rsid w:val="00365680"/>
    <w:rsid w:val="00374A9A"/>
    <w:rsid w:val="003764F3"/>
    <w:rsid w:val="00386C6D"/>
    <w:rsid w:val="00393525"/>
    <w:rsid w:val="00396DBA"/>
    <w:rsid w:val="003A0935"/>
    <w:rsid w:val="003A1480"/>
    <w:rsid w:val="003B385D"/>
    <w:rsid w:val="003B763C"/>
    <w:rsid w:val="003B7706"/>
    <w:rsid w:val="003C02A1"/>
    <w:rsid w:val="003C2C95"/>
    <w:rsid w:val="003C60EA"/>
    <w:rsid w:val="003C79B6"/>
    <w:rsid w:val="003D3564"/>
    <w:rsid w:val="003D5D01"/>
    <w:rsid w:val="003E0681"/>
    <w:rsid w:val="003E3574"/>
    <w:rsid w:val="003F1789"/>
    <w:rsid w:val="003F6F60"/>
    <w:rsid w:val="00405008"/>
    <w:rsid w:val="00411EA7"/>
    <w:rsid w:val="00420804"/>
    <w:rsid w:val="0042547D"/>
    <w:rsid w:val="00426BBD"/>
    <w:rsid w:val="00427660"/>
    <w:rsid w:val="0042798B"/>
    <w:rsid w:val="00430D6F"/>
    <w:rsid w:val="0043145F"/>
    <w:rsid w:val="00431D83"/>
    <w:rsid w:val="0043293D"/>
    <w:rsid w:val="004411E9"/>
    <w:rsid w:val="00445C25"/>
    <w:rsid w:val="00450091"/>
    <w:rsid w:val="00451DC3"/>
    <w:rsid w:val="00453137"/>
    <w:rsid w:val="00460E7D"/>
    <w:rsid w:val="00462156"/>
    <w:rsid w:val="00462C1C"/>
    <w:rsid w:val="0047388E"/>
    <w:rsid w:val="00482E6E"/>
    <w:rsid w:val="004853E1"/>
    <w:rsid w:val="00487CF3"/>
    <w:rsid w:val="00493E46"/>
    <w:rsid w:val="004964B2"/>
    <w:rsid w:val="004A3496"/>
    <w:rsid w:val="004A6E92"/>
    <w:rsid w:val="004B1AB8"/>
    <w:rsid w:val="004B37CE"/>
    <w:rsid w:val="004B4C48"/>
    <w:rsid w:val="004B4D3E"/>
    <w:rsid w:val="004B5D44"/>
    <w:rsid w:val="004C3F3B"/>
    <w:rsid w:val="004E0048"/>
    <w:rsid w:val="004E0D04"/>
    <w:rsid w:val="004E66CD"/>
    <w:rsid w:val="004F0BD0"/>
    <w:rsid w:val="004F1005"/>
    <w:rsid w:val="004F2F76"/>
    <w:rsid w:val="004F5C20"/>
    <w:rsid w:val="004F678D"/>
    <w:rsid w:val="00503B8B"/>
    <w:rsid w:val="0051292D"/>
    <w:rsid w:val="00517C5F"/>
    <w:rsid w:val="00526315"/>
    <w:rsid w:val="00527334"/>
    <w:rsid w:val="00534745"/>
    <w:rsid w:val="00535BCD"/>
    <w:rsid w:val="00540C26"/>
    <w:rsid w:val="005411F5"/>
    <w:rsid w:val="005430A5"/>
    <w:rsid w:val="005505B2"/>
    <w:rsid w:val="00556A86"/>
    <w:rsid w:val="00562EF0"/>
    <w:rsid w:val="00563B94"/>
    <w:rsid w:val="0056408C"/>
    <w:rsid w:val="005661D4"/>
    <w:rsid w:val="00567EE9"/>
    <w:rsid w:val="005751A0"/>
    <w:rsid w:val="00585382"/>
    <w:rsid w:val="00593ED6"/>
    <w:rsid w:val="005A5264"/>
    <w:rsid w:val="005A603F"/>
    <w:rsid w:val="005B1B89"/>
    <w:rsid w:val="005B4BFB"/>
    <w:rsid w:val="005B550A"/>
    <w:rsid w:val="005C68B7"/>
    <w:rsid w:val="005C6A7D"/>
    <w:rsid w:val="005C7648"/>
    <w:rsid w:val="005D0354"/>
    <w:rsid w:val="005D2E88"/>
    <w:rsid w:val="005D50A4"/>
    <w:rsid w:val="005E1623"/>
    <w:rsid w:val="005E1A63"/>
    <w:rsid w:val="005F2C03"/>
    <w:rsid w:val="005F46BB"/>
    <w:rsid w:val="005F52FA"/>
    <w:rsid w:val="005F5BFC"/>
    <w:rsid w:val="005F6F85"/>
    <w:rsid w:val="005F7A56"/>
    <w:rsid w:val="005F7D8D"/>
    <w:rsid w:val="0060249F"/>
    <w:rsid w:val="00602690"/>
    <w:rsid w:val="00613B6D"/>
    <w:rsid w:val="00616209"/>
    <w:rsid w:val="00617FDB"/>
    <w:rsid w:val="006204D7"/>
    <w:rsid w:val="00623472"/>
    <w:rsid w:val="00626653"/>
    <w:rsid w:val="006363BB"/>
    <w:rsid w:val="006372A5"/>
    <w:rsid w:val="00655E2A"/>
    <w:rsid w:val="006727CE"/>
    <w:rsid w:val="00675F2D"/>
    <w:rsid w:val="006829EA"/>
    <w:rsid w:val="006846BA"/>
    <w:rsid w:val="00684807"/>
    <w:rsid w:val="00696167"/>
    <w:rsid w:val="00696643"/>
    <w:rsid w:val="006A5F42"/>
    <w:rsid w:val="006C00D5"/>
    <w:rsid w:val="006C5304"/>
    <w:rsid w:val="006C7A6F"/>
    <w:rsid w:val="006D167D"/>
    <w:rsid w:val="006D53D4"/>
    <w:rsid w:val="006E5CFA"/>
    <w:rsid w:val="006F1295"/>
    <w:rsid w:val="006F234C"/>
    <w:rsid w:val="006F4444"/>
    <w:rsid w:val="006F4EDE"/>
    <w:rsid w:val="007037D6"/>
    <w:rsid w:val="007112AD"/>
    <w:rsid w:val="00711B6F"/>
    <w:rsid w:val="0071418E"/>
    <w:rsid w:val="00717436"/>
    <w:rsid w:val="00720F81"/>
    <w:rsid w:val="007225C9"/>
    <w:rsid w:val="00724ED0"/>
    <w:rsid w:val="0072544D"/>
    <w:rsid w:val="00725D0F"/>
    <w:rsid w:val="007432DB"/>
    <w:rsid w:val="007460A7"/>
    <w:rsid w:val="007557BD"/>
    <w:rsid w:val="007653F9"/>
    <w:rsid w:val="00781265"/>
    <w:rsid w:val="0078532B"/>
    <w:rsid w:val="007B180E"/>
    <w:rsid w:val="007B616D"/>
    <w:rsid w:val="007B677A"/>
    <w:rsid w:val="007C04A5"/>
    <w:rsid w:val="007C27A2"/>
    <w:rsid w:val="007C7FE0"/>
    <w:rsid w:val="007D1E83"/>
    <w:rsid w:val="007D2972"/>
    <w:rsid w:val="007E3689"/>
    <w:rsid w:val="007E50CC"/>
    <w:rsid w:val="007E547A"/>
    <w:rsid w:val="007F15CB"/>
    <w:rsid w:val="007F1746"/>
    <w:rsid w:val="00803C49"/>
    <w:rsid w:val="008064A8"/>
    <w:rsid w:val="0081096E"/>
    <w:rsid w:val="008153F6"/>
    <w:rsid w:val="008174C7"/>
    <w:rsid w:val="00817C4D"/>
    <w:rsid w:val="00825CBC"/>
    <w:rsid w:val="008320C2"/>
    <w:rsid w:val="00832315"/>
    <w:rsid w:val="00845F54"/>
    <w:rsid w:val="00847C7C"/>
    <w:rsid w:val="008532DA"/>
    <w:rsid w:val="00854044"/>
    <w:rsid w:val="00854B13"/>
    <w:rsid w:val="008631E4"/>
    <w:rsid w:val="00870041"/>
    <w:rsid w:val="0087587F"/>
    <w:rsid w:val="00880080"/>
    <w:rsid w:val="00881A49"/>
    <w:rsid w:val="008849F4"/>
    <w:rsid w:val="008902FE"/>
    <w:rsid w:val="008A74A9"/>
    <w:rsid w:val="008B5ED7"/>
    <w:rsid w:val="008B6665"/>
    <w:rsid w:val="008C2C45"/>
    <w:rsid w:val="008D1C45"/>
    <w:rsid w:val="008D3649"/>
    <w:rsid w:val="008E1B8B"/>
    <w:rsid w:val="008E3933"/>
    <w:rsid w:val="00901CEC"/>
    <w:rsid w:val="00904B74"/>
    <w:rsid w:val="009072E0"/>
    <w:rsid w:val="00916162"/>
    <w:rsid w:val="00921517"/>
    <w:rsid w:val="00923D93"/>
    <w:rsid w:val="00924481"/>
    <w:rsid w:val="00927096"/>
    <w:rsid w:val="009302E1"/>
    <w:rsid w:val="009303BA"/>
    <w:rsid w:val="0093465D"/>
    <w:rsid w:val="00935E18"/>
    <w:rsid w:val="0093760A"/>
    <w:rsid w:val="00940A76"/>
    <w:rsid w:val="00940AF5"/>
    <w:rsid w:val="00940D55"/>
    <w:rsid w:val="00942194"/>
    <w:rsid w:val="00946A1D"/>
    <w:rsid w:val="0095263E"/>
    <w:rsid w:val="00954013"/>
    <w:rsid w:val="00955A5B"/>
    <w:rsid w:val="00956B1A"/>
    <w:rsid w:val="00971ABB"/>
    <w:rsid w:val="00974903"/>
    <w:rsid w:val="00976F8D"/>
    <w:rsid w:val="009804C0"/>
    <w:rsid w:val="009820EF"/>
    <w:rsid w:val="00987B38"/>
    <w:rsid w:val="009908F5"/>
    <w:rsid w:val="009949C7"/>
    <w:rsid w:val="00994EB7"/>
    <w:rsid w:val="009B769D"/>
    <w:rsid w:val="009C0CB4"/>
    <w:rsid w:val="009D14C8"/>
    <w:rsid w:val="009D45E1"/>
    <w:rsid w:val="009E05E9"/>
    <w:rsid w:val="009E18A7"/>
    <w:rsid w:val="009F7554"/>
    <w:rsid w:val="00A03CF2"/>
    <w:rsid w:val="00A04763"/>
    <w:rsid w:val="00A056A5"/>
    <w:rsid w:val="00A0626A"/>
    <w:rsid w:val="00A14680"/>
    <w:rsid w:val="00A1506E"/>
    <w:rsid w:val="00A15075"/>
    <w:rsid w:val="00A158D3"/>
    <w:rsid w:val="00A17004"/>
    <w:rsid w:val="00A2094C"/>
    <w:rsid w:val="00A2672F"/>
    <w:rsid w:val="00A301E7"/>
    <w:rsid w:val="00A40323"/>
    <w:rsid w:val="00A54B51"/>
    <w:rsid w:val="00A56376"/>
    <w:rsid w:val="00A56C3E"/>
    <w:rsid w:val="00A57E3E"/>
    <w:rsid w:val="00A9566B"/>
    <w:rsid w:val="00AA1633"/>
    <w:rsid w:val="00AA28CD"/>
    <w:rsid w:val="00AA6A4A"/>
    <w:rsid w:val="00AB16D0"/>
    <w:rsid w:val="00AB644D"/>
    <w:rsid w:val="00AC06F7"/>
    <w:rsid w:val="00AD1613"/>
    <w:rsid w:val="00AD2B07"/>
    <w:rsid w:val="00AD6B93"/>
    <w:rsid w:val="00AD7A63"/>
    <w:rsid w:val="00AE60D4"/>
    <w:rsid w:val="00AF266D"/>
    <w:rsid w:val="00AF3845"/>
    <w:rsid w:val="00B00364"/>
    <w:rsid w:val="00B0232C"/>
    <w:rsid w:val="00B24DB0"/>
    <w:rsid w:val="00B25FC3"/>
    <w:rsid w:val="00B30D11"/>
    <w:rsid w:val="00B34C9C"/>
    <w:rsid w:val="00B37D3E"/>
    <w:rsid w:val="00B4322F"/>
    <w:rsid w:val="00B45262"/>
    <w:rsid w:val="00B50382"/>
    <w:rsid w:val="00B50C4B"/>
    <w:rsid w:val="00B62E96"/>
    <w:rsid w:val="00B761A5"/>
    <w:rsid w:val="00B77247"/>
    <w:rsid w:val="00B8182A"/>
    <w:rsid w:val="00B8209E"/>
    <w:rsid w:val="00B8338A"/>
    <w:rsid w:val="00B85804"/>
    <w:rsid w:val="00B87572"/>
    <w:rsid w:val="00BB20B9"/>
    <w:rsid w:val="00BB4BAA"/>
    <w:rsid w:val="00BB69B0"/>
    <w:rsid w:val="00BC2494"/>
    <w:rsid w:val="00BD141B"/>
    <w:rsid w:val="00BD23C4"/>
    <w:rsid w:val="00BD308A"/>
    <w:rsid w:val="00BF387F"/>
    <w:rsid w:val="00BF7611"/>
    <w:rsid w:val="00C05BB4"/>
    <w:rsid w:val="00C1156E"/>
    <w:rsid w:val="00C13370"/>
    <w:rsid w:val="00C16C6E"/>
    <w:rsid w:val="00C213CA"/>
    <w:rsid w:val="00C24621"/>
    <w:rsid w:val="00C26E0C"/>
    <w:rsid w:val="00C27E86"/>
    <w:rsid w:val="00C311DA"/>
    <w:rsid w:val="00C32E7A"/>
    <w:rsid w:val="00C34637"/>
    <w:rsid w:val="00C41E8F"/>
    <w:rsid w:val="00C42E69"/>
    <w:rsid w:val="00C6412B"/>
    <w:rsid w:val="00C71958"/>
    <w:rsid w:val="00C765EF"/>
    <w:rsid w:val="00C76AAD"/>
    <w:rsid w:val="00C801D2"/>
    <w:rsid w:val="00C95675"/>
    <w:rsid w:val="00CA5052"/>
    <w:rsid w:val="00CA5349"/>
    <w:rsid w:val="00CA7738"/>
    <w:rsid w:val="00CB16AD"/>
    <w:rsid w:val="00CB4F99"/>
    <w:rsid w:val="00CB5BA6"/>
    <w:rsid w:val="00CB6039"/>
    <w:rsid w:val="00CB7F70"/>
    <w:rsid w:val="00CC1957"/>
    <w:rsid w:val="00CC6FEE"/>
    <w:rsid w:val="00CD31DD"/>
    <w:rsid w:val="00CD7395"/>
    <w:rsid w:val="00CE54D7"/>
    <w:rsid w:val="00CE68EC"/>
    <w:rsid w:val="00D007B4"/>
    <w:rsid w:val="00D00C6C"/>
    <w:rsid w:val="00D01ED5"/>
    <w:rsid w:val="00D037C6"/>
    <w:rsid w:val="00D05985"/>
    <w:rsid w:val="00D07E1C"/>
    <w:rsid w:val="00D1787B"/>
    <w:rsid w:val="00D2219B"/>
    <w:rsid w:val="00D23D47"/>
    <w:rsid w:val="00D2540B"/>
    <w:rsid w:val="00D25761"/>
    <w:rsid w:val="00D2611D"/>
    <w:rsid w:val="00D36AA0"/>
    <w:rsid w:val="00D37526"/>
    <w:rsid w:val="00D51353"/>
    <w:rsid w:val="00D51F1D"/>
    <w:rsid w:val="00D539D5"/>
    <w:rsid w:val="00D54EFB"/>
    <w:rsid w:val="00D5695A"/>
    <w:rsid w:val="00D56F23"/>
    <w:rsid w:val="00D615A8"/>
    <w:rsid w:val="00D62357"/>
    <w:rsid w:val="00D62879"/>
    <w:rsid w:val="00D62AAF"/>
    <w:rsid w:val="00D660C8"/>
    <w:rsid w:val="00D66805"/>
    <w:rsid w:val="00D67E06"/>
    <w:rsid w:val="00D70118"/>
    <w:rsid w:val="00D74A8A"/>
    <w:rsid w:val="00D85A2A"/>
    <w:rsid w:val="00D91BFF"/>
    <w:rsid w:val="00DA0990"/>
    <w:rsid w:val="00DC217D"/>
    <w:rsid w:val="00DC3F54"/>
    <w:rsid w:val="00DC6504"/>
    <w:rsid w:val="00DC73D5"/>
    <w:rsid w:val="00DD019C"/>
    <w:rsid w:val="00DE7F64"/>
    <w:rsid w:val="00DF3767"/>
    <w:rsid w:val="00DF40D0"/>
    <w:rsid w:val="00DF5E15"/>
    <w:rsid w:val="00E116CF"/>
    <w:rsid w:val="00E14023"/>
    <w:rsid w:val="00E156DE"/>
    <w:rsid w:val="00E21E91"/>
    <w:rsid w:val="00E24CC8"/>
    <w:rsid w:val="00E270D8"/>
    <w:rsid w:val="00E416EA"/>
    <w:rsid w:val="00E45517"/>
    <w:rsid w:val="00E5328C"/>
    <w:rsid w:val="00E54E7B"/>
    <w:rsid w:val="00E56885"/>
    <w:rsid w:val="00E5737B"/>
    <w:rsid w:val="00E61A73"/>
    <w:rsid w:val="00E628FF"/>
    <w:rsid w:val="00E67FB9"/>
    <w:rsid w:val="00E71B6A"/>
    <w:rsid w:val="00E751B6"/>
    <w:rsid w:val="00E81B27"/>
    <w:rsid w:val="00E85D03"/>
    <w:rsid w:val="00E879FA"/>
    <w:rsid w:val="00E90A45"/>
    <w:rsid w:val="00EB234E"/>
    <w:rsid w:val="00EC132D"/>
    <w:rsid w:val="00ED2B6E"/>
    <w:rsid w:val="00ED613D"/>
    <w:rsid w:val="00ED67D0"/>
    <w:rsid w:val="00EE1324"/>
    <w:rsid w:val="00EE142E"/>
    <w:rsid w:val="00EE24A5"/>
    <w:rsid w:val="00EE5056"/>
    <w:rsid w:val="00EE6683"/>
    <w:rsid w:val="00EF3A9F"/>
    <w:rsid w:val="00EF52D6"/>
    <w:rsid w:val="00F228D7"/>
    <w:rsid w:val="00F26039"/>
    <w:rsid w:val="00F270C6"/>
    <w:rsid w:val="00F311EF"/>
    <w:rsid w:val="00F36124"/>
    <w:rsid w:val="00F423BC"/>
    <w:rsid w:val="00F4632B"/>
    <w:rsid w:val="00F50C79"/>
    <w:rsid w:val="00F51974"/>
    <w:rsid w:val="00F51BB2"/>
    <w:rsid w:val="00F53805"/>
    <w:rsid w:val="00F600F4"/>
    <w:rsid w:val="00F64F09"/>
    <w:rsid w:val="00F65C36"/>
    <w:rsid w:val="00F675B2"/>
    <w:rsid w:val="00F7161A"/>
    <w:rsid w:val="00F906FF"/>
    <w:rsid w:val="00F90E3D"/>
    <w:rsid w:val="00F96AC6"/>
    <w:rsid w:val="00FA7D63"/>
    <w:rsid w:val="00FB2E59"/>
    <w:rsid w:val="00FB5F8F"/>
    <w:rsid w:val="00FC2344"/>
    <w:rsid w:val="00FD32D8"/>
    <w:rsid w:val="00FE5A98"/>
    <w:rsid w:val="00FE5CF1"/>
    <w:rsid w:val="00FE7428"/>
    <w:rsid w:val="00FF1B14"/>
    <w:rsid w:val="00FF5A5B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21"/>
  </w:style>
  <w:style w:type="paragraph" w:styleId="1">
    <w:name w:val="heading 1"/>
    <w:basedOn w:val="a"/>
    <w:link w:val="10"/>
    <w:uiPriority w:val="9"/>
    <w:qFormat/>
    <w:rsid w:val="000A05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0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05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0A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A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0543"/>
  </w:style>
  <w:style w:type="character" w:styleId="a3">
    <w:name w:val="Hyperlink"/>
    <w:basedOn w:val="a0"/>
    <w:uiPriority w:val="99"/>
    <w:semiHidden/>
    <w:unhideWhenUsed/>
    <w:rsid w:val="000A05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054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A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0A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071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5477938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85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07841" TargetMode="External"/><Relationship Id="rId13" Type="http://schemas.openxmlformats.org/officeDocument/2006/relationships/hyperlink" Target="http://docs.cntd.ru/document/1200027324" TargetMode="External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1200023363" TargetMode="External"/><Relationship Id="rId7" Type="http://schemas.openxmlformats.org/officeDocument/2006/relationships/hyperlink" Target="http://docs.cntd.ru/document/1200017686" TargetMode="External"/><Relationship Id="rId12" Type="http://schemas.openxmlformats.org/officeDocument/2006/relationships/hyperlink" Target="http://docs.cntd.ru/document/1200003839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hyperlink" Target="http://docs.cntd.ru/document/120000383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1200006714" TargetMode="External"/><Relationship Id="rId11" Type="http://schemas.openxmlformats.org/officeDocument/2006/relationships/hyperlink" Target="http://docs.cntd.ru/document/1200023379" TargetMode="External"/><Relationship Id="rId5" Type="http://schemas.openxmlformats.org/officeDocument/2006/relationships/hyperlink" Target="http://docs.cntd.ru/document/1200023001" TargetMode="Externa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1200023378" TargetMode="External"/><Relationship Id="rId19" Type="http://schemas.openxmlformats.org/officeDocument/2006/relationships/hyperlink" Target="http://docs.cntd.ru/document/1200023375" TargetMode="External"/><Relationship Id="rId4" Type="http://schemas.openxmlformats.org/officeDocument/2006/relationships/hyperlink" Target="http://docs.cntd.ru/document/495835564" TargetMode="External"/><Relationship Id="rId9" Type="http://schemas.openxmlformats.org/officeDocument/2006/relationships/hyperlink" Target="http://docs.cntd.ru/document/1200023378" TargetMode="External"/><Relationship Id="rId14" Type="http://schemas.openxmlformats.org/officeDocument/2006/relationships/hyperlink" Target="http://docs.cntd.ru/document/12000086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3402</Words>
  <Characters>19392</Characters>
  <Application>Microsoft Office Word</Application>
  <DocSecurity>0</DocSecurity>
  <Lines>161</Lines>
  <Paragraphs>45</Paragraphs>
  <ScaleCrop>false</ScaleCrop>
  <Company>RePack by SPecialiST</Company>
  <LinksUpToDate>false</LinksUpToDate>
  <CharactersWithSpaces>22749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Laboratoriya</dc:creator>
  <cp:keywords/>
  <dc:description/>
  <cp:lastModifiedBy>Laboratoriya</cp:lastModifiedBy>
  <cp:revision>11</cp:revision>
  <dcterms:created xsi:type="dcterms:W3CDTF">2018-06-27T11:15:00Z</dcterms:created>
  <dcterms:modified xsi:type="dcterms:W3CDTF">2018-11-06T05:09:00Z</dcterms:modified>
</cp:coreProperties>
</file>